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9B" w:rsidRPr="006B4EFD" w:rsidRDefault="00A5679B" w:rsidP="00A5679B">
      <w:pPr>
        <w:rPr>
          <w:b/>
          <w:sz w:val="28"/>
          <w:szCs w:val="28"/>
        </w:rPr>
      </w:pPr>
      <w:r w:rsidRPr="006B4EFD">
        <w:rPr>
          <w:b/>
          <w:sz w:val="28"/>
          <w:szCs w:val="28"/>
        </w:rPr>
        <w:t>PRESS RELEASE</w:t>
      </w:r>
    </w:p>
    <w:p w:rsidR="00A5679B" w:rsidRPr="006B4EFD" w:rsidRDefault="00A5679B" w:rsidP="00A5679B">
      <w:pPr>
        <w:rPr>
          <w:b/>
          <w:sz w:val="28"/>
          <w:szCs w:val="28"/>
        </w:rPr>
      </w:pPr>
      <w:r w:rsidRPr="006B4EFD">
        <w:rPr>
          <w:b/>
          <w:sz w:val="28"/>
          <w:szCs w:val="28"/>
        </w:rPr>
        <w:t>For Immediate Release</w:t>
      </w:r>
    </w:p>
    <w:p w:rsidR="00FE7E69" w:rsidRPr="006B4EFD" w:rsidRDefault="00FE7E69" w:rsidP="00A5679B">
      <w:pPr>
        <w:rPr>
          <w:b/>
          <w:sz w:val="28"/>
          <w:szCs w:val="28"/>
        </w:rPr>
      </w:pPr>
    </w:p>
    <w:p w:rsidR="00A5679B" w:rsidRPr="006B4EFD" w:rsidRDefault="00A5679B" w:rsidP="00A5679B">
      <w:pPr>
        <w:jc w:val="center"/>
        <w:rPr>
          <w:b/>
          <w:sz w:val="28"/>
          <w:szCs w:val="28"/>
        </w:rPr>
      </w:pPr>
    </w:p>
    <w:p w:rsidR="008542B4" w:rsidRDefault="00517781" w:rsidP="008542B4">
      <w:pPr>
        <w:contextualSpacing/>
        <w:jc w:val="both"/>
        <w:rPr>
          <w:bCs/>
          <w:sz w:val="28"/>
          <w:szCs w:val="28"/>
        </w:rPr>
      </w:pPr>
      <w:r w:rsidRPr="00517781">
        <w:rPr>
          <w:b/>
          <w:i/>
          <w:sz w:val="28"/>
          <w:szCs w:val="28"/>
        </w:rPr>
        <w:t xml:space="preserve">Castries, </w:t>
      </w:r>
      <w:r w:rsidR="008542B4">
        <w:rPr>
          <w:b/>
          <w:i/>
          <w:sz w:val="28"/>
          <w:szCs w:val="28"/>
        </w:rPr>
        <w:t>January 22, 2021</w:t>
      </w:r>
      <w:r w:rsidRPr="00517781">
        <w:rPr>
          <w:b/>
          <w:i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 w:rsidR="008542B4">
        <w:rPr>
          <w:bCs/>
          <w:sz w:val="28"/>
          <w:szCs w:val="28"/>
        </w:rPr>
        <w:t>With</w:t>
      </w:r>
      <w:r w:rsidR="008542B4">
        <w:rPr>
          <w:bCs/>
          <w:sz w:val="28"/>
          <w:szCs w:val="28"/>
          <w:lang w:val="en-US"/>
        </w:rPr>
        <w:t xml:space="preserve"> reference</w:t>
      </w:r>
      <w:r w:rsidR="008542B4" w:rsidRPr="00081B96">
        <w:rPr>
          <w:bCs/>
          <w:sz w:val="28"/>
          <w:szCs w:val="28"/>
          <w:lang w:val="en-US"/>
        </w:rPr>
        <w:t xml:space="preserve"> t</w:t>
      </w:r>
      <w:r w:rsidR="008542B4">
        <w:rPr>
          <w:bCs/>
          <w:sz w:val="28"/>
          <w:szCs w:val="28"/>
          <w:lang w:val="en-US"/>
        </w:rPr>
        <w:t>o</w:t>
      </w:r>
      <w:r w:rsidR="008542B4" w:rsidRPr="00081B96">
        <w:rPr>
          <w:bCs/>
          <w:sz w:val="28"/>
          <w:szCs w:val="28"/>
          <w:lang w:val="en-US"/>
        </w:rPr>
        <w:t xml:space="preserve"> </w:t>
      </w:r>
      <w:r w:rsidR="008542B4">
        <w:rPr>
          <w:bCs/>
          <w:sz w:val="28"/>
          <w:szCs w:val="28"/>
          <w:lang w:val="en-US"/>
        </w:rPr>
        <w:t xml:space="preserve">the </w:t>
      </w:r>
      <w:r w:rsidR="008542B4" w:rsidRPr="00081B96">
        <w:rPr>
          <w:bCs/>
          <w:sz w:val="28"/>
          <w:szCs w:val="28"/>
          <w:lang w:val="en-US"/>
        </w:rPr>
        <w:t xml:space="preserve">recent </w:t>
      </w:r>
      <w:r w:rsidR="008542B4">
        <w:rPr>
          <w:bCs/>
          <w:sz w:val="28"/>
          <w:szCs w:val="28"/>
          <w:lang w:val="en-US"/>
        </w:rPr>
        <w:t xml:space="preserve">address </w:t>
      </w:r>
      <w:r w:rsidR="008542B4" w:rsidRPr="00081B96">
        <w:rPr>
          <w:bCs/>
          <w:sz w:val="28"/>
          <w:szCs w:val="28"/>
          <w:lang w:val="en-US"/>
        </w:rPr>
        <w:t>by the Honourable Prime Minister –</w:t>
      </w:r>
      <w:r w:rsidR="008542B4">
        <w:rPr>
          <w:bCs/>
          <w:sz w:val="28"/>
          <w:szCs w:val="28"/>
          <w:lang w:val="en-US"/>
        </w:rPr>
        <w:t xml:space="preserve"> </w:t>
      </w:r>
      <w:r w:rsidR="008542B4" w:rsidRPr="00081B96">
        <w:rPr>
          <w:bCs/>
          <w:sz w:val="28"/>
          <w:szCs w:val="28"/>
          <w:lang w:val="en-US"/>
        </w:rPr>
        <w:t>January 20</w:t>
      </w:r>
      <w:r w:rsidR="003531E1" w:rsidRPr="003531E1">
        <w:rPr>
          <w:bCs/>
          <w:sz w:val="28"/>
          <w:szCs w:val="28"/>
          <w:vertAlign w:val="superscript"/>
          <w:lang w:val="en-US"/>
        </w:rPr>
        <w:t>th</w:t>
      </w:r>
      <w:r w:rsidR="003531E1">
        <w:rPr>
          <w:bCs/>
          <w:sz w:val="28"/>
          <w:szCs w:val="28"/>
          <w:lang w:val="en-US"/>
        </w:rPr>
        <w:t xml:space="preserve">  </w:t>
      </w:r>
      <w:r w:rsidR="008542B4" w:rsidRPr="00081B96">
        <w:rPr>
          <w:bCs/>
          <w:sz w:val="28"/>
          <w:szCs w:val="28"/>
          <w:lang w:val="en-US"/>
        </w:rPr>
        <w:t>, 2021</w:t>
      </w:r>
      <w:r w:rsidR="008542B4">
        <w:rPr>
          <w:bCs/>
          <w:sz w:val="28"/>
          <w:szCs w:val="28"/>
          <w:lang w:val="en-US"/>
        </w:rPr>
        <w:t>,</w:t>
      </w:r>
      <w:r w:rsidR="008542B4" w:rsidRPr="00081B96">
        <w:rPr>
          <w:bCs/>
          <w:sz w:val="28"/>
          <w:szCs w:val="28"/>
          <w:lang w:val="en-US"/>
        </w:rPr>
        <w:t xml:space="preserve"> in which new measures </w:t>
      </w:r>
      <w:r w:rsidR="008542B4">
        <w:rPr>
          <w:bCs/>
          <w:sz w:val="28"/>
          <w:szCs w:val="28"/>
          <w:lang w:val="en-US"/>
        </w:rPr>
        <w:t xml:space="preserve">were announced </w:t>
      </w:r>
      <w:r w:rsidR="008542B4" w:rsidRPr="00081B96">
        <w:rPr>
          <w:bCs/>
          <w:sz w:val="28"/>
          <w:szCs w:val="28"/>
          <w:lang w:val="en-US"/>
        </w:rPr>
        <w:t>in an effort to curtail the rapid increase in COVID</w:t>
      </w:r>
      <w:r w:rsidR="008542B4">
        <w:rPr>
          <w:bCs/>
          <w:sz w:val="28"/>
          <w:szCs w:val="28"/>
          <w:lang w:val="en-US"/>
        </w:rPr>
        <w:t>-</w:t>
      </w:r>
      <w:r w:rsidR="008542B4" w:rsidRPr="00081B96">
        <w:rPr>
          <w:bCs/>
          <w:sz w:val="28"/>
          <w:szCs w:val="28"/>
          <w:lang w:val="en-US"/>
        </w:rPr>
        <w:t>19 infections</w:t>
      </w:r>
      <w:r w:rsidR="008542B4">
        <w:rPr>
          <w:bCs/>
          <w:sz w:val="28"/>
          <w:szCs w:val="28"/>
          <w:lang w:val="en-US"/>
        </w:rPr>
        <w:t xml:space="preserve"> in Saint Lucia, the </w:t>
      </w:r>
      <w:r w:rsidR="008542B4" w:rsidRPr="00AF2A76">
        <w:rPr>
          <w:bCs/>
          <w:sz w:val="28"/>
          <w:szCs w:val="28"/>
          <w:lang w:val="en-US"/>
        </w:rPr>
        <w:t xml:space="preserve">Ministry of Commerce, International Trade, Investment, Enterprise Development and Consumer Affairs </w:t>
      </w:r>
      <w:r w:rsidR="008542B4">
        <w:rPr>
          <w:bCs/>
          <w:sz w:val="28"/>
          <w:szCs w:val="28"/>
          <w:lang w:val="en-US"/>
        </w:rPr>
        <w:t xml:space="preserve">wishes to </w:t>
      </w:r>
      <w:r w:rsidR="008542B4" w:rsidRPr="00AF2A76">
        <w:rPr>
          <w:bCs/>
          <w:sz w:val="28"/>
          <w:szCs w:val="28"/>
          <w:lang w:val="en-US"/>
        </w:rPr>
        <w:t>advise</w:t>
      </w:r>
      <w:r w:rsidR="008542B4">
        <w:rPr>
          <w:bCs/>
          <w:sz w:val="28"/>
          <w:szCs w:val="28"/>
          <w:lang w:val="en-US"/>
        </w:rPr>
        <w:t xml:space="preserve"> of the following implications with respect to commercial activity on island. </w:t>
      </w:r>
    </w:p>
    <w:p w:rsidR="008542B4" w:rsidRDefault="008542B4" w:rsidP="008542B4">
      <w:pPr>
        <w:contextualSpacing/>
        <w:jc w:val="both"/>
        <w:rPr>
          <w:bCs/>
          <w:sz w:val="28"/>
          <w:szCs w:val="28"/>
        </w:rPr>
      </w:pPr>
    </w:p>
    <w:p w:rsidR="008542B4" w:rsidRDefault="00C21AE9" w:rsidP="008542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Commercial activity will be scaled-down</w:t>
      </w:r>
      <w:r w:rsidR="008542B4" w:rsidRPr="00B95933">
        <w:rPr>
          <w:bCs/>
          <w:sz w:val="28"/>
          <w:szCs w:val="28"/>
          <w:lang w:val="en-US"/>
        </w:rPr>
        <w:t xml:space="preserve"> over a ten day period</w:t>
      </w:r>
      <w:r>
        <w:rPr>
          <w:bCs/>
          <w:sz w:val="28"/>
          <w:szCs w:val="28"/>
          <w:lang w:val="en-US"/>
        </w:rPr>
        <w:t>,</w:t>
      </w:r>
      <w:r w:rsidR="008542B4" w:rsidRPr="00B95933">
        <w:rPr>
          <w:bCs/>
          <w:sz w:val="28"/>
          <w:szCs w:val="28"/>
          <w:lang w:val="en-US"/>
        </w:rPr>
        <w:t xml:space="preserve"> from </w:t>
      </w:r>
      <w:r w:rsidR="008542B4" w:rsidRPr="00954666">
        <w:rPr>
          <w:bCs/>
          <w:sz w:val="28"/>
          <w:szCs w:val="28"/>
          <w:lang w:val="en-US"/>
        </w:rPr>
        <w:t xml:space="preserve">Friday </w:t>
      </w:r>
      <w:r w:rsidR="003531E1">
        <w:rPr>
          <w:bCs/>
          <w:sz w:val="28"/>
          <w:szCs w:val="28"/>
          <w:lang w:val="en-US"/>
        </w:rPr>
        <w:t>January 22</w:t>
      </w:r>
      <w:r w:rsidR="003531E1" w:rsidRPr="003531E1">
        <w:rPr>
          <w:bCs/>
          <w:sz w:val="28"/>
          <w:szCs w:val="28"/>
          <w:vertAlign w:val="superscript"/>
          <w:lang w:val="en-US"/>
        </w:rPr>
        <w:t>nd</w:t>
      </w:r>
      <w:r w:rsidR="003531E1">
        <w:rPr>
          <w:bCs/>
          <w:sz w:val="28"/>
          <w:szCs w:val="28"/>
          <w:lang w:val="en-US"/>
        </w:rPr>
        <w:t xml:space="preserve"> </w:t>
      </w:r>
      <w:r w:rsidR="008542B4" w:rsidRPr="00954666">
        <w:rPr>
          <w:bCs/>
          <w:sz w:val="28"/>
          <w:szCs w:val="28"/>
          <w:lang w:val="en-US"/>
        </w:rPr>
        <w:t>2021 at 6:00PM until Monday February</w:t>
      </w:r>
      <w:r w:rsidR="003531E1">
        <w:rPr>
          <w:bCs/>
          <w:sz w:val="28"/>
          <w:szCs w:val="28"/>
          <w:lang w:val="en-US"/>
        </w:rPr>
        <w:t xml:space="preserve"> 1</w:t>
      </w:r>
      <w:r w:rsidR="003531E1" w:rsidRPr="003531E1">
        <w:rPr>
          <w:bCs/>
          <w:sz w:val="28"/>
          <w:szCs w:val="28"/>
          <w:vertAlign w:val="superscript"/>
          <w:lang w:val="en-US"/>
        </w:rPr>
        <w:t>st</w:t>
      </w:r>
      <w:r w:rsidR="003531E1">
        <w:rPr>
          <w:bCs/>
          <w:sz w:val="28"/>
          <w:szCs w:val="28"/>
          <w:lang w:val="en-US"/>
        </w:rPr>
        <w:t xml:space="preserve"> </w:t>
      </w:r>
      <w:r w:rsidR="008542B4" w:rsidRPr="00954666">
        <w:rPr>
          <w:bCs/>
          <w:sz w:val="28"/>
          <w:szCs w:val="28"/>
          <w:lang w:val="en-US"/>
        </w:rPr>
        <w:t>, 2021.</w:t>
      </w:r>
      <w:r w:rsidR="008542B4" w:rsidRPr="00B95933">
        <w:rPr>
          <w:bCs/>
          <w:sz w:val="28"/>
          <w:szCs w:val="28"/>
          <w:lang w:val="en-US"/>
        </w:rPr>
        <w:t xml:space="preserve"> </w:t>
      </w:r>
    </w:p>
    <w:p w:rsidR="008542B4" w:rsidRDefault="008542B4" w:rsidP="008542B4">
      <w:pPr>
        <w:jc w:val="both"/>
        <w:rPr>
          <w:bCs/>
          <w:sz w:val="28"/>
          <w:szCs w:val="28"/>
        </w:rPr>
      </w:pPr>
    </w:p>
    <w:p w:rsidR="008542B4" w:rsidRDefault="008542B4" w:rsidP="008542B4">
      <w:pPr>
        <w:jc w:val="both"/>
        <w:rPr>
          <w:bCs/>
          <w:sz w:val="28"/>
          <w:szCs w:val="28"/>
        </w:rPr>
      </w:pPr>
      <w:r w:rsidRPr="00B95933">
        <w:rPr>
          <w:bCs/>
          <w:sz w:val="28"/>
          <w:szCs w:val="28"/>
          <w:lang w:val="en-US"/>
        </w:rPr>
        <w:t xml:space="preserve">During this period </w:t>
      </w:r>
      <w:r>
        <w:rPr>
          <w:b/>
          <w:sz w:val="28"/>
          <w:szCs w:val="28"/>
          <w:lang w:val="en-US"/>
        </w:rPr>
        <w:t xml:space="preserve">the </w:t>
      </w:r>
      <w:r w:rsidRPr="007434B5">
        <w:rPr>
          <w:b/>
          <w:sz w:val="28"/>
          <w:szCs w:val="28"/>
          <w:lang w:val="en-US"/>
        </w:rPr>
        <w:t>Services</w:t>
      </w:r>
      <w:r>
        <w:rPr>
          <w:b/>
          <w:sz w:val="28"/>
          <w:szCs w:val="28"/>
          <w:lang w:val="en-US"/>
        </w:rPr>
        <w:t xml:space="preserve"> which can be rendered or </w:t>
      </w:r>
      <w:r w:rsidRPr="00B95933">
        <w:rPr>
          <w:b/>
          <w:bCs/>
          <w:sz w:val="28"/>
          <w:szCs w:val="28"/>
          <w:lang w:val="en-US"/>
        </w:rPr>
        <w:t>businesses</w:t>
      </w:r>
      <w:r>
        <w:rPr>
          <w:bCs/>
          <w:sz w:val="28"/>
          <w:szCs w:val="28"/>
          <w:lang w:val="en-US"/>
        </w:rPr>
        <w:t xml:space="preserve"> </w:t>
      </w:r>
      <w:r w:rsidRPr="005858DD">
        <w:rPr>
          <w:b/>
          <w:bCs/>
          <w:sz w:val="28"/>
          <w:szCs w:val="28"/>
          <w:lang w:val="en-US"/>
        </w:rPr>
        <w:t>which are allowed</w:t>
      </w:r>
      <w:r w:rsidRPr="007434B5">
        <w:rPr>
          <w:bCs/>
          <w:sz w:val="28"/>
          <w:szCs w:val="28"/>
          <w:lang w:val="en-US"/>
        </w:rPr>
        <w:t xml:space="preserve"> to </w:t>
      </w:r>
      <w:r>
        <w:rPr>
          <w:bCs/>
          <w:sz w:val="28"/>
          <w:szCs w:val="28"/>
          <w:lang w:val="en-US"/>
        </w:rPr>
        <w:t xml:space="preserve">remain open </w:t>
      </w:r>
      <w:r w:rsidRPr="007434B5">
        <w:rPr>
          <w:bCs/>
          <w:sz w:val="28"/>
          <w:szCs w:val="28"/>
          <w:lang w:val="en-US"/>
        </w:rPr>
        <w:t>and engage in activit</w:t>
      </w:r>
      <w:r>
        <w:rPr>
          <w:bCs/>
          <w:sz w:val="28"/>
          <w:szCs w:val="28"/>
          <w:lang w:val="en-US"/>
        </w:rPr>
        <w:t>y</w:t>
      </w:r>
      <w:r w:rsidRPr="007434B5">
        <w:rPr>
          <w:bCs/>
          <w:sz w:val="28"/>
          <w:szCs w:val="28"/>
          <w:lang w:val="en-US"/>
        </w:rPr>
        <w:t xml:space="preserve"> include</w:t>
      </w:r>
      <w:r>
        <w:rPr>
          <w:bCs/>
          <w:sz w:val="28"/>
          <w:szCs w:val="28"/>
          <w:lang w:val="en-US"/>
        </w:rPr>
        <w:t xml:space="preserve"> the following: </w:t>
      </w:r>
    </w:p>
    <w:p w:rsidR="008542B4" w:rsidRDefault="008542B4" w:rsidP="008542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Supermarkets, </w:t>
      </w:r>
      <w:r w:rsidRPr="00D076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Mini-marts, Small Shops,</w:t>
      </w: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Bakeries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AF2A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octor’s offices, Diagnostic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&amp;</w:t>
      </w:r>
      <w:r w:rsidRPr="00AF2A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lab services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Pr="00AF2A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AF2A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harmacies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F2A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and other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related </w:t>
      </w:r>
      <w:r w:rsidRPr="00AF2A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health support services </w:t>
      </w:r>
    </w:p>
    <w:p w:rsidR="008542B4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Farming/fishing and other Agricultural activities</w:t>
      </w:r>
    </w:p>
    <w:p w:rsidR="008542B4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Food supply and preparation services – eg Restaurants (take out service</w:t>
      </w:r>
      <w:r w:rsidR="005858D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 only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</w:p>
    <w:p w:rsidR="008542B4" w:rsidRPr="00C22550" w:rsidRDefault="003531E1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Approved Covid-19 </w:t>
      </w:r>
      <w:r w:rsidR="008542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Hotels 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Utility companies</w:t>
      </w:r>
    </w:p>
    <w:p w:rsidR="008542B4" w:rsidRPr="00C22550" w:rsidRDefault="003F5F19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Gas Stations/Petroleum s</w:t>
      </w:r>
      <w:r w:rsidR="008542B4"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ervices</w:t>
      </w:r>
    </w:p>
    <w:p w:rsidR="008542B4" w:rsidRPr="00C22550" w:rsidRDefault="003F5F19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Financial/Banking s</w:t>
      </w:r>
      <w:r w:rsidR="008542B4"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ervices</w:t>
      </w:r>
    </w:p>
    <w:p w:rsidR="008542B4" w:rsidRPr="003F5F19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Law</w:t>
      </w:r>
      <w:r w:rsidR="00694F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offices </w:t>
      </w:r>
    </w:p>
    <w:p w:rsidR="003F5F19" w:rsidRPr="00C22550" w:rsidRDefault="003F5F19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Accounting firms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Sanitation/Solid Waste Management Services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Standalone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</w:t>
      </w: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ardware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retail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Call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enters </w:t>
      </w:r>
    </w:p>
    <w:p w:rsidR="008542B4" w:rsidRDefault="003F5F19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Broadcasting and Media s</w:t>
      </w:r>
      <w:r w:rsidR="008542B4"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ervices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Manufacturing and export related services</w:t>
      </w:r>
    </w:p>
    <w:p w:rsidR="008542B4" w:rsidRPr="00C22550" w:rsidRDefault="003F5F19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Customs b</w:t>
      </w:r>
      <w:r w:rsidR="008542B4"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rokerag</w:t>
      </w:r>
      <w:r w:rsidR="008542B4" w:rsidRPr="0095466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Courier s</w:t>
      </w:r>
      <w:r w:rsidR="008542B4" w:rsidRPr="0095466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ervices</w:t>
      </w:r>
      <w:r w:rsidR="008542B4"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Vendors</w:t>
      </w:r>
    </w:p>
    <w:p w:rsidR="008542B4" w:rsidRPr="00C22550" w:rsidRDefault="003F5F19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Public t</w:t>
      </w:r>
      <w:r w:rsidR="008542B4"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ransportation</w:t>
      </w:r>
    </w:p>
    <w:p w:rsidR="008542B4" w:rsidRPr="00C22550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Garages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8542B4" w:rsidRPr="00D0766A" w:rsidRDefault="008542B4" w:rsidP="008542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Critical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ublic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ector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C225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rojects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and other ongoing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rivate </w:t>
      </w:r>
      <w:r w:rsidR="003F5F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ector construction projects</w:t>
      </w:r>
      <w:r w:rsidRPr="00D076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</w:p>
    <w:p w:rsidR="008542B4" w:rsidRPr="00C22550" w:rsidRDefault="008542B4" w:rsidP="008542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2B4" w:rsidRPr="00D6702F" w:rsidRDefault="008542B4" w:rsidP="008542B4">
      <w:pPr>
        <w:jc w:val="both"/>
        <w:rPr>
          <w:b/>
          <w:sz w:val="28"/>
          <w:szCs w:val="28"/>
        </w:rPr>
      </w:pPr>
      <w:r w:rsidRPr="00D6702F">
        <w:rPr>
          <w:b/>
          <w:sz w:val="28"/>
          <w:szCs w:val="28"/>
          <w:lang w:val="en-US"/>
        </w:rPr>
        <w:t>A more comprehensive Listing of</w:t>
      </w:r>
      <w:r>
        <w:rPr>
          <w:b/>
          <w:sz w:val="28"/>
          <w:szCs w:val="28"/>
          <w:lang w:val="en-US"/>
        </w:rPr>
        <w:t xml:space="preserve"> </w:t>
      </w:r>
      <w:r w:rsidRPr="00D6702F">
        <w:rPr>
          <w:b/>
          <w:sz w:val="28"/>
          <w:szCs w:val="28"/>
          <w:lang w:val="en-US"/>
        </w:rPr>
        <w:t>Services</w:t>
      </w:r>
      <w:r>
        <w:rPr>
          <w:b/>
          <w:sz w:val="28"/>
          <w:szCs w:val="28"/>
          <w:lang w:val="en-US"/>
        </w:rPr>
        <w:t xml:space="preserve"> Allowed</w:t>
      </w:r>
      <w:r w:rsidRPr="00D670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will be</w:t>
      </w:r>
      <w:r w:rsidRPr="00D6702F">
        <w:rPr>
          <w:b/>
          <w:sz w:val="28"/>
          <w:szCs w:val="28"/>
          <w:lang w:val="en-US"/>
        </w:rPr>
        <w:t xml:space="preserve"> available on the website: </w:t>
      </w:r>
      <w:hyperlink r:id="rId7" w:history="1">
        <w:r w:rsidRPr="00D6702F">
          <w:rPr>
            <w:rStyle w:val="Hyperlink"/>
            <w:sz w:val="28"/>
            <w:szCs w:val="28"/>
            <w:lang w:val="en-US"/>
          </w:rPr>
          <w:t>https://www.covid19response.lc/</w:t>
        </w:r>
      </w:hyperlink>
      <w:r w:rsidRPr="00D6702F">
        <w:rPr>
          <w:b/>
          <w:sz w:val="28"/>
          <w:szCs w:val="28"/>
          <w:lang w:val="en-US"/>
        </w:rPr>
        <w:t xml:space="preserve"> and the various </w:t>
      </w:r>
      <w:r>
        <w:rPr>
          <w:b/>
          <w:sz w:val="28"/>
          <w:szCs w:val="28"/>
          <w:lang w:val="en-US"/>
        </w:rPr>
        <w:t xml:space="preserve">Government </w:t>
      </w:r>
      <w:r w:rsidRPr="00D6702F">
        <w:rPr>
          <w:b/>
          <w:sz w:val="28"/>
          <w:szCs w:val="28"/>
          <w:lang w:val="en-US"/>
        </w:rPr>
        <w:t>online platforms.</w:t>
      </w:r>
    </w:p>
    <w:p w:rsidR="008542B4" w:rsidRPr="00C22550" w:rsidRDefault="008542B4" w:rsidP="008542B4">
      <w:pPr>
        <w:jc w:val="both"/>
        <w:rPr>
          <w:bCs/>
          <w:sz w:val="28"/>
          <w:szCs w:val="28"/>
        </w:rPr>
      </w:pPr>
    </w:p>
    <w:p w:rsidR="008542B4" w:rsidRPr="00D6702F" w:rsidRDefault="008542B4" w:rsidP="008542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Please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be reminded</w:t>
      </w: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that the services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and businesses </w:t>
      </w: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listed are to operate under established protocols and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are further urged to </w:t>
      </w: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adopt a blended approach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(i.e. a</w:t>
      </w: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combined physical and </w:t>
      </w: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virtual component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r w:rsidRPr="00D670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where practicable so as to limit person to person contact.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This suggests that where possible, staff are allowed to work from home while meetings and other conferences are to be held virtually.</w:t>
      </w:r>
    </w:p>
    <w:p w:rsidR="008542B4" w:rsidRPr="00AF2A76" w:rsidRDefault="008542B4" w:rsidP="008542B4">
      <w:pPr>
        <w:contextualSpacing/>
        <w:jc w:val="both"/>
        <w:rPr>
          <w:bCs/>
          <w:sz w:val="28"/>
          <w:szCs w:val="28"/>
        </w:rPr>
      </w:pPr>
    </w:p>
    <w:p w:rsidR="008542B4" w:rsidRDefault="008542B4" w:rsidP="008542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0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Any sector or business not listed should remain closed for the ten day period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For businesses seeking additional clarification on these matters, kindly contact your commercial </w:t>
      </w:r>
      <w:r w:rsidRPr="000E6B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membership organization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0E6B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or the Ministry of Commerce at email: </w:t>
      </w:r>
      <w:hyperlink r:id="rId8" w:history="1">
        <w:r w:rsidRPr="00420BE4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mincommerce@govt.lc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E6B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 contact number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(758) 468-4218</w:t>
      </w:r>
      <w:r w:rsidRPr="000E6B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8542B4" w:rsidRPr="000E6B2A" w:rsidRDefault="008542B4" w:rsidP="008542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2B4" w:rsidRPr="00AF2A76" w:rsidRDefault="008542B4" w:rsidP="008542B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9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are further reminded that </w:t>
      </w:r>
      <w:r w:rsidRPr="00B959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Business Operations and Commercial Activities must cease no later than 9:00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959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PM. </w:t>
      </w:r>
    </w:p>
    <w:p w:rsidR="008542B4" w:rsidRDefault="008542B4" w:rsidP="008542B4">
      <w:pPr>
        <w:contextualSpacing/>
        <w:jc w:val="both"/>
        <w:rPr>
          <w:iCs/>
          <w:sz w:val="28"/>
          <w:szCs w:val="28"/>
        </w:rPr>
      </w:pPr>
    </w:p>
    <w:p w:rsidR="008542B4" w:rsidRPr="005409C0" w:rsidRDefault="008542B4" w:rsidP="008542B4">
      <w:pPr>
        <w:contextualSpacing/>
        <w:jc w:val="both"/>
        <w:rPr>
          <w:iCs/>
          <w:sz w:val="28"/>
          <w:szCs w:val="28"/>
        </w:rPr>
      </w:pPr>
      <w:r w:rsidRPr="008D7479">
        <w:rPr>
          <w:iCs/>
          <w:sz w:val="28"/>
          <w:szCs w:val="28"/>
          <w:lang w:val="en-US"/>
        </w:rPr>
        <w:t xml:space="preserve">The Government of Saint Lucia fully appreciates the </w:t>
      </w:r>
      <w:r>
        <w:rPr>
          <w:iCs/>
          <w:sz w:val="28"/>
          <w:szCs w:val="28"/>
          <w:lang w:val="en-US"/>
        </w:rPr>
        <w:t>adverse</w:t>
      </w:r>
      <w:r w:rsidRPr="008D7479">
        <w:rPr>
          <w:iCs/>
          <w:sz w:val="28"/>
          <w:szCs w:val="28"/>
          <w:lang w:val="en-US"/>
        </w:rPr>
        <w:t xml:space="preserve"> impact that these measures </w:t>
      </w:r>
      <w:r>
        <w:rPr>
          <w:iCs/>
          <w:sz w:val="28"/>
          <w:szCs w:val="28"/>
          <w:lang w:val="en-US"/>
        </w:rPr>
        <w:t>may</w:t>
      </w:r>
      <w:r w:rsidRPr="008D7479">
        <w:rPr>
          <w:iCs/>
          <w:sz w:val="28"/>
          <w:szCs w:val="28"/>
          <w:lang w:val="en-US"/>
        </w:rPr>
        <w:t xml:space="preserve"> have on commercial activity on island and on the livelihoods of our citizenry. We do not take this decision lightly but </w:t>
      </w:r>
      <w:r>
        <w:rPr>
          <w:iCs/>
          <w:sz w:val="28"/>
          <w:szCs w:val="28"/>
          <w:lang w:val="en-US"/>
        </w:rPr>
        <w:t xml:space="preserve">rather </w:t>
      </w:r>
      <w:r w:rsidRPr="008D7479">
        <w:rPr>
          <w:iCs/>
          <w:sz w:val="28"/>
          <w:szCs w:val="28"/>
          <w:lang w:val="en-US"/>
        </w:rPr>
        <w:t>we move forward in the best interest of the health and safety of all our citizens.  The</w:t>
      </w:r>
      <w:r w:rsidRPr="00AF2A7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objective of these new measures </w:t>
      </w:r>
      <w:r w:rsidRPr="00AF2A76">
        <w:rPr>
          <w:iCs/>
          <w:sz w:val="28"/>
          <w:szCs w:val="28"/>
          <w:lang w:val="en-US"/>
        </w:rPr>
        <w:t>is to limit the movement of people in order to prevent furt</w:t>
      </w:r>
      <w:r>
        <w:rPr>
          <w:iCs/>
          <w:sz w:val="28"/>
          <w:szCs w:val="28"/>
          <w:lang w:val="en-US"/>
        </w:rPr>
        <w:t xml:space="preserve">her transmission of Covid-19. We thank you for your continued patience and support as we work collaboratively towards a more prosperous Saint Lucia.  </w:t>
      </w:r>
    </w:p>
    <w:p w:rsidR="008542B4" w:rsidRPr="005409C0" w:rsidRDefault="008542B4" w:rsidP="008542B4"/>
    <w:p w:rsidR="008542B4" w:rsidRPr="005409C0" w:rsidRDefault="008542B4" w:rsidP="008542B4">
      <w:pPr>
        <w:rPr>
          <w:lang w:val="en-029"/>
        </w:rPr>
      </w:pPr>
    </w:p>
    <w:p w:rsidR="00FE7E69" w:rsidRPr="006B4EFD" w:rsidRDefault="00FE7E69" w:rsidP="008542B4">
      <w:pPr>
        <w:jc w:val="both"/>
        <w:rPr>
          <w:sz w:val="28"/>
          <w:szCs w:val="28"/>
        </w:rPr>
      </w:pPr>
    </w:p>
    <w:p w:rsidR="00FE7E69" w:rsidRPr="006B4EFD" w:rsidRDefault="00FE7E69" w:rsidP="002A5D6D">
      <w:pPr>
        <w:spacing w:line="276" w:lineRule="auto"/>
        <w:jc w:val="right"/>
        <w:rPr>
          <w:sz w:val="28"/>
          <w:szCs w:val="28"/>
        </w:rPr>
      </w:pPr>
    </w:p>
    <w:p w:rsidR="00232AED" w:rsidRPr="006B4EFD" w:rsidRDefault="00A5679B" w:rsidP="006B4EFD">
      <w:pPr>
        <w:spacing w:line="276" w:lineRule="auto"/>
        <w:jc w:val="center"/>
        <w:rPr>
          <w:sz w:val="28"/>
          <w:szCs w:val="28"/>
        </w:rPr>
      </w:pPr>
      <w:r w:rsidRPr="006B4EFD">
        <w:rPr>
          <w:sz w:val="28"/>
          <w:szCs w:val="28"/>
        </w:rPr>
        <w:t>-End-</w:t>
      </w:r>
    </w:p>
    <w:sectPr w:rsidR="00232AED" w:rsidRPr="006B4EFD" w:rsidSect="008542B4">
      <w:headerReference w:type="default" r:id="rId9"/>
      <w:footerReference w:type="default" r:id="rId10"/>
      <w:pgSz w:w="12240" w:h="15840" w:code="1"/>
      <w:pgMar w:top="245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12" w:rsidRDefault="00275612">
      <w:r>
        <w:separator/>
      </w:r>
    </w:p>
  </w:endnote>
  <w:endnote w:type="continuationSeparator" w:id="0">
    <w:p w:rsidR="00275612" w:rsidRDefault="002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5" w:rsidRDefault="00E7745A" w:rsidP="000145D5">
    <w:pPr>
      <w:tabs>
        <w:tab w:val="center" w:pos="4320"/>
        <w:tab w:val="right" w:pos="8640"/>
      </w:tabs>
      <w:jc w:val="center"/>
      <w:rPr>
        <w:rFonts w:ascii="Rockwell" w:hAnsi="Rockwell"/>
        <w:b/>
        <w:sz w:val="17"/>
        <w:szCs w:val="17"/>
      </w:rPr>
    </w:pPr>
    <w:r>
      <w:t>__________________________________________________________________________________</w:t>
    </w:r>
    <w:r w:rsidR="000145D5" w:rsidRPr="000145D5">
      <w:rPr>
        <w:rFonts w:ascii="Rockwell" w:hAnsi="Rockwell"/>
        <w:b/>
        <w:sz w:val="17"/>
        <w:szCs w:val="17"/>
      </w:rPr>
      <w:t xml:space="preserve"> </w:t>
    </w:r>
  </w:p>
  <w:p w:rsidR="000145D5" w:rsidRDefault="000145D5" w:rsidP="000145D5">
    <w:pPr>
      <w:tabs>
        <w:tab w:val="center" w:pos="4320"/>
        <w:tab w:val="right" w:pos="8640"/>
      </w:tabs>
      <w:jc w:val="center"/>
      <w:rPr>
        <w:rFonts w:ascii="Rockwell" w:hAnsi="Rockwell"/>
        <w:b/>
        <w:sz w:val="17"/>
        <w:szCs w:val="17"/>
      </w:rPr>
    </w:pPr>
    <w:r w:rsidRPr="005B3ABB">
      <w:rPr>
        <w:rFonts w:ascii="Rockwell" w:hAnsi="Rockwell"/>
        <w:b/>
        <w:sz w:val="17"/>
        <w:szCs w:val="17"/>
      </w:rPr>
      <w:t>Administration</w:t>
    </w:r>
    <w:r w:rsidRPr="005B3ABB">
      <w:rPr>
        <w:rFonts w:ascii="Rockwell" w:hAnsi="Rockwell"/>
        <w:sz w:val="17"/>
        <w:szCs w:val="17"/>
      </w:rPr>
      <w:t xml:space="preserve">: 468-4218 </w:t>
    </w:r>
    <w:r>
      <w:rPr>
        <w:rFonts w:ascii="Rockwell" w:hAnsi="Rockwell"/>
        <w:sz w:val="17"/>
        <w:szCs w:val="17"/>
      </w:rPr>
      <w:t xml:space="preserve">  |   </w:t>
    </w:r>
    <w:r w:rsidRPr="005B3ABB">
      <w:rPr>
        <w:rFonts w:ascii="Rockwell" w:hAnsi="Rockwell"/>
        <w:b/>
        <w:sz w:val="17"/>
        <w:szCs w:val="17"/>
      </w:rPr>
      <w:t>Commerce</w:t>
    </w:r>
    <w:r w:rsidR="004E3A90">
      <w:rPr>
        <w:rFonts w:ascii="Rockwell" w:hAnsi="Rockwell"/>
        <w:b/>
        <w:sz w:val="17"/>
        <w:szCs w:val="17"/>
      </w:rPr>
      <w:t xml:space="preserve"> &amp; Industry</w:t>
    </w:r>
    <w:r>
      <w:rPr>
        <w:rFonts w:ascii="Rockwell" w:hAnsi="Rockwell"/>
        <w:sz w:val="17"/>
        <w:szCs w:val="17"/>
      </w:rPr>
      <w:t xml:space="preserve">: 468-4238/4210   |   </w:t>
    </w:r>
    <w:r w:rsidRPr="00E03EE1">
      <w:rPr>
        <w:rFonts w:ascii="Rockwell" w:hAnsi="Rockwell"/>
        <w:b/>
        <w:sz w:val="17"/>
        <w:szCs w:val="17"/>
      </w:rPr>
      <w:t>International Trade</w:t>
    </w:r>
    <w:r>
      <w:rPr>
        <w:rFonts w:ascii="Rockwell" w:hAnsi="Rockwell"/>
        <w:sz w:val="17"/>
        <w:szCs w:val="17"/>
      </w:rPr>
      <w:t>: 468-4570</w:t>
    </w:r>
    <w:r>
      <w:rPr>
        <w:rFonts w:ascii="Rockwell" w:hAnsi="Rockwell"/>
        <w:b/>
        <w:sz w:val="17"/>
        <w:szCs w:val="17"/>
      </w:rPr>
      <w:t xml:space="preserve"> </w:t>
    </w:r>
  </w:p>
  <w:p w:rsidR="000145D5" w:rsidRPr="005B3ABB" w:rsidRDefault="000145D5" w:rsidP="000145D5">
    <w:pPr>
      <w:tabs>
        <w:tab w:val="center" w:pos="4320"/>
        <w:tab w:val="right" w:pos="8640"/>
      </w:tabs>
      <w:jc w:val="center"/>
      <w:rPr>
        <w:rFonts w:ascii="Rockwell" w:hAnsi="Rockwell"/>
        <w:sz w:val="17"/>
        <w:szCs w:val="17"/>
      </w:rPr>
    </w:pPr>
    <w:r w:rsidRPr="005B3ABB">
      <w:rPr>
        <w:rFonts w:ascii="Rockwell" w:hAnsi="Rockwell"/>
        <w:b/>
        <w:sz w:val="17"/>
        <w:szCs w:val="17"/>
      </w:rPr>
      <w:t>Investment:</w:t>
    </w:r>
    <w:r w:rsidRPr="005B3ABB">
      <w:rPr>
        <w:rFonts w:ascii="Rockwell" w:hAnsi="Rockwell"/>
        <w:sz w:val="17"/>
        <w:szCs w:val="17"/>
      </w:rPr>
      <w:t xml:space="preserve"> 468-4291/4265/4266 </w:t>
    </w:r>
    <w:r>
      <w:rPr>
        <w:rFonts w:ascii="Rockwell" w:hAnsi="Rockwell"/>
        <w:sz w:val="17"/>
        <w:szCs w:val="17"/>
      </w:rPr>
      <w:t xml:space="preserve">|   </w:t>
    </w:r>
    <w:r w:rsidRPr="005B3ABB">
      <w:rPr>
        <w:rFonts w:ascii="Rockwell" w:hAnsi="Rockwell"/>
        <w:b/>
        <w:sz w:val="17"/>
        <w:szCs w:val="17"/>
      </w:rPr>
      <w:t>SEDU: (758)</w:t>
    </w:r>
    <w:r w:rsidRPr="005B3ABB">
      <w:rPr>
        <w:rFonts w:ascii="Rockwell" w:hAnsi="Rockwell"/>
        <w:sz w:val="17"/>
        <w:szCs w:val="17"/>
      </w:rPr>
      <w:t xml:space="preserve"> 468-4223</w:t>
    </w:r>
    <w:r>
      <w:rPr>
        <w:rFonts w:ascii="Rockwell" w:hAnsi="Rockwell"/>
        <w:sz w:val="17"/>
        <w:szCs w:val="17"/>
      </w:rPr>
      <w:t>/4220</w:t>
    </w:r>
    <w:r w:rsidRPr="005B3ABB">
      <w:rPr>
        <w:rFonts w:ascii="Rockwell" w:hAnsi="Rockwell"/>
        <w:sz w:val="17"/>
        <w:szCs w:val="17"/>
      </w:rPr>
      <w:t xml:space="preserve"> </w:t>
    </w:r>
    <w:r>
      <w:rPr>
        <w:rFonts w:ascii="Rockwell" w:hAnsi="Rockwell"/>
        <w:sz w:val="17"/>
        <w:szCs w:val="17"/>
      </w:rPr>
      <w:t xml:space="preserve">|   </w:t>
    </w:r>
    <w:r w:rsidRPr="005B3ABB">
      <w:rPr>
        <w:rFonts w:ascii="Rockwell" w:hAnsi="Rockwell"/>
        <w:b/>
        <w:sz w:val="17"/>
        <w:szCs w:val="17"/>
      </w:rPr>
      <w:t>Consumer Affairs</w:t>
    </w:r>
    <w:r>
      <w:rPr>
        <w:rFonts w:ascii="Rockwell" w:hAnsi="Rockwell"/>
        <w:sz w:val="17"/>
        <w:szCs w:val="17"/>
      </w:rPr>
      <w:t xml:space="preserve">: (758) 468 </w:t>
    </w:r>
    <w:r w:rsidRPr="005B3ABB">
      <w:rPr>
        <w:rFonts w:ascii="Rockwell" w:hAnsi="Rockwell"/>
        <w:sz w:val="17"/>
        <w:szCs w:val="17"/>
      </w:rPr>
      <w:t>4232/4224</w:t>
    </w:r>
  </w:p>
  <w:p w:rsidR="000145D5" w:rsidRPr="005B3ABB" w:rsidRDefault="000145D5" w:rsidP="000145D5">
    <w:pPr>
      <w:tabs>
        <w:tab w:val="center" w:pos="4320"/>
        <w:tab w:val="right" w:pos="8640"/>
      </w:tabs>
      <w:jc w:val="center"/>
      <w:rPr>
        <w:rFonts w:ascii="Rockwell" w:hAnsi="Rockwell"/>
        <w:sz w:val="17"/>
        <w:szCs w:val="17"/>
      </w:rPr>
    </w:pPr>
    <w:r w:rsidRPr="005B3ABB">
      <w:rPr>
        <w:rFonts w:ascii="Rockwell" w:hAnsi="Rockwell"/>
        <w:b/>
        <w:sz w:val="17"/>
        <w:szCs w:val="17"/>
      </w:rPr>
      <w:t xml:space="preserve">Fax: </w:t>
    </w:r>
    <w:r w:rsidRPr="005B3ABB">
      <w:rPr>
        <w:rFonts w:ascii="Rockwell" w:hAnsi="Rockwell"/>
        <w:sz w:val="17"/>
        <w:szCs w:val="17"/>
      </w:rPr>
      <w:t xml:space="preserve">453-7347 </w:t>
    </w:r>
    <w:r>
      <w:rPr>
        <w:rFonts w:ascii="Rockwell" w:hAnsi="Rockwell"/>
        <w:sz w:val="17"/>
        <w:szCs w:val="17"/>
      </w:rPr>
      <w:t xml:space="preserve">| </w:t>
    </w:r>
    <w:r w:rsidRPr="005B3ABB">
      <w:rPr>
        <w:rFonts w:ascii="Rockwell" w:hAnsi="Rockwell"/>
        <w:b/>
        <w:sz w:val="17"/>
        <w:szCs w:val="17"/>
      </w:rPr>
      <w:t xml:space="preserve"> </w:t>
    </w:r>
    <w:r>
      <w:rPr>
        <w:rFonts w:ascii="Rockwell" w:hAnsi="Rockwell"/>
        <w:b/>
        <w:sz w:val="17"/>
        <w:szCs w:val="17"/>
      </w:rPr>
      <w:t xml:space="preserve"> </w:t>
    </w:r>
    <w:r w:rsidRPr="005B3ABB">
      <w:rPr>
        <w:rFonts w:ascii="Rockwell" w:hAnsi="Rockwell"/>
        <w:b/>
        <w:sz w:val="17"/>
        <w:szCs w:val="17"/>
      </w:rPr>
      <w:t xml:space="preserve">Email: </w:t>
    </w:r>
    <w:hyperlink r:id="rId1" w:history="1">
      <w:r w:rsidRPr="005B3ABB">
        <w:rPr>
          <w:rFonts w:ascii="Rockwell" w:hAnsi="Rockwell"/>
          <w:color w:val="0000FF"/>
          <w:sz w:val="17"/>
          <w:szCs w:val="17"/>
          <w:u w:val="single"/>
        </w:rPr>
        <w:t>mincommerce@govt.lc</w:t>
      </w:r>
    </w:hyperlink>
    <w:r>
      <w:rPr>
        <w:rFonts w:ascii="Rockwell" w:hAnsi="Rockwell"/>
        <w:sz w:val="17"/>
        <w:szCs w:val="17"/>
      </w:rPr>
      <w:t xml:space="preserve"> |  </w:t>
    </w:r>
    <w:r w:rsidRPr="005B3ABB">
      <w:rPr>
        <w:rFonts w:ascii="Rockwell" w:hAnsi="Rockwell"/>
        <w:sz w:val="17"/>
        <w:szCs w:val="17"/>
      </w:rPr>
      <w:t xml:space="preserve"> </w:t>
    </w:r>
    <w:r w:rsidRPr="005B3ABB">
      <w:rPr>
        <w:rFonts w:ascii="Rockwell" w:hAnsi="Rockwell"/>
        <w:b/>
        <w:sz w:val="17"/>
        <w:szCs w:val="17"/>
      </w:rPr>
      <w:t>Website URL:</w:t>
    </w:r>
    <w:r w:rsidRPr="005B3ABB">
      <w:rPr>
        <w:rFonts w:ascii="Rockwell" w:hAnsi="Rockwell"/>
        <w:sz w:val="17"/>
        <w:szCs w:val="17"/>
      </w:rPr>
      <w:t xml:space="preserve"> </w:t>
    </w:r>
    <w:hyperlink r:id="rId2" w:history="1">
      <w:r w:rsidRPr="005B3ABB">
        <w:rPr>
          <w:rFonts w:ascii="Rockwell" w:hAnsi="Rockwell"/>
          <w:color w:val="0000FF"/>
          <w:sz w:val="17"/>
          <w:szCs w:val="17"/>
          <w:u w:val="single"/>
        </w:rPr>
        <w:t>www.commerce.gov.lc</w:t>
      </w:r>
    </w:hyperlink>
    <w:r w:rsidRPr="005B3ABB">
      <w:rPr>
        <w:rFonts w:ascii="Rockwell" w:hAnsi="Rockwell"/>
        <w:sz w:val="17"/>
        <w:szCs w:val="17"/>
      </w:rPr>
      <w:t xml:space="preserve"> </w:t>
    </w:r>
  </w:p>
  <w:p w:rsidR="000145D5" w:rsidRPr="005B3ABB" w:rsidRDefault="000145D5" w:rsidP="000145D5">
    <w:pPr>
      <w:tabs>
        <w:tab w:val="center" w:pos="4320"/>
        <w:tab w:val="right" w:pos="8640"/>
      </w:tabs>
      <w:jc w:val="center"/>
      <w:rPr>
        <w:rFonts w:ascii="Rockwell" w:hAnsi="Rockwell"/>
        <w:sz w:val="17"/>
        <w:szCs w:val="17"/>
      </w:rPr>
    </w:pPr>
    <w:r w:rsidRPr="005B3ABB">
      <w:rPr>
        <w:rFonts w:ascii="Rockwell" w:hAnsi="Rockwell"/>
        <w:b/>
        <w:sz w:val="17"/>
        <w:szCs w:val="17"/>
      </w:rPr>
      <w:t>Facebook</w:t>
    </w:r>
    <w:r w:rsidRPr="005B3ABB">
      <w:rPr>
        <w:rFonts w:ascii="Rockwell" w:hAnsi="Rockwell"/>
        <w:sz w:val="17"/>
        <w:szCs w:val="17"/>
      </w:rPr>
      <w:t xml:space="preserve">: </w:t>
    </w:r>
    <w:hyperlink r:id="rId3" w:history="1">
      <w:r w:rsidRPr="005B3ABB">
        <w:rPr>
          <w:rFonts w:ascii="Rockwell" w:hAnsi="Rockwell"/>
          <w:color w:val="0000FF"/>
          <w:sz w:val="17"/>
          <w:szCs w:val="17"/>
          <w:u w:val="single"/>
        </w:rPr>
        <w:t>www.facebook.com/CommerceSaintLucia</w:t>
      </w:r>
    </w:hyperlink>
    <w:r w:rsidRPr="005B3ABB">
      <w:rPr>
        <w:rFonts w:ascii="Rockwell" w:hAnsi="Rockwell"/>
        <w:sz w:val="17"/>
        <w:szCs w:val="17"/>
      </w:rPr>
      <w:t xml:space="preserve">  </w:t>
    </w:r>
  </w:p>
  <w:p w:rsidR="000145D5" w:rsidRPr="005B3ABB" w:rsidRDefault="000145D5" w:rsidP="000145D5"/>
  <w:p w:rsidR="00232AED" w:rsidRPr="007B3C4A" w:rsidRDefault="00232AED" w:rsidP="000145D5">
    <w:pPr>
      <w:pStyle w:val="Footer"/>
      <w:jc w:val="center"/>
      <w:rPr>
        <w:rFonts w:ascii="Rockwell" w:hAnsi="Rockwell"/>
        <w:sz w:val="17"/>
        <w:szCs w:val="17"/>
      </w:rPr>
    </w:pPr>
  </w:p>
  <w:p w:rsidR="007B3C4A" w:rsidRDefault="007B3C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12" w:rsidRDefault="00275612">
      <w:r>
        <w:separator/>
      </w:r>
    </w:p>
  </w:footnote>
  <w:footnote w:type="continuationSeparator" w:id="0">
    <w:p w:rsidR="00275612" w:rsidRDefault="0027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5A" w:rsidRDefault="001116CC">
    <w:pPr>
      <w:jc w:val="center"/>
      <w:rPr>
        <w:rFonts w:ascii="Rockwell" w:hAnsi="Rockwell"/>
      </w:rPr>
    </w:pPr>
    <w:r>
      <w:rPr>
        <w:rFonts w:ascii="Rockwell" w:hAnsi="Rockwell"/>
        <w:noProof/>
        <w:lang w:val="en-US" w:eastAsia="en-US"/>
      </w:rPr>
      <w:drawing>
        <wp:inline distT="0" distB="0" distL="0" distR="0">
          <wp:extent cx="754380" cy="685800"/>
          <wp:effectExtent l="19050" t="0" r="7620" b="0"/>
          <wp:docPr id="1" name="Picture 1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365" w:rsidRPr="000C500B" w:rsidRDefault="00AA0365">
    <w:pPr>
      <w:jc w:val="center"/>
      <w:rPr>
        <w:rFonts w:ascii="Rockwell" w:hAnsi="Rockwell"/>
        <w:b/>
        <w:sz w:val="28"/>
        <w:szCs w:val="28"/>
      </w:rPr>
    </w:pPr>
    <w:r w:rsidRPr="000C500B">
      <w:rPr>
        <w:rFonts w:ascii="Rockwell" w:hAnsi="Rockwell"/>
        <w:b/>
        <w:sz w:val="28"/>
        <w:szCs w:val="28"/>
      </w:rPr>
      <w:t>GOVERNMENT OF SAINT LUCIA</w:t>
    </w:r>
  </w:p>
  <w:p w:rsidR="000145D5" w:rsidRPr="000145D5" w:rsidRDefault="004D132E" w:rsidP="002503BB">
    <w:pPr>
      <w:tabs>
        <w:tab w:val="left" w:pos="5685"/>
      </w:tabs>
      <w:jc w:val="center"/>
      <w:rPr>
        <w:rFonts w:ascii="Rockwell" w:hAnsi="Rockwell" w:cs="Tahoma"/>
        <w:b/>
        <w:bCs/>
        <w:lang w:val="en-US" w:eastAsia="en-US"/>
      </w:rPr>
    </w:pPr>
    <w:r>
      <w:rPr>
        <w:rFonts w:ascii="Rockwell" w:hAnsi="Rockwell" w:cs="Tahoma"/>
        <w:b/>
        <w:bCs/>
        <w:lang w:val="en-US" w:eastAsia="en-US"/>
      </w:rPr>
      <w:t>Ministry</w:t>
    </w:r>
    <w:r w:rsidR="002503BB">
      <w:rPr>
        <w:rFonts w:ascii="Rockwell" w:hAnsi="Rockwell" w:cs="Tahoma"/>
        <w:b/>
        <w:bCs/>
        <w:lang w:val="en-US" w:eastAsia="en-US"/>
      </w:rPr>
      <w:t xml:space="preserve"> o</w:t>
    </w:r>
    <w:r w:rsidR="002503BB" w:rsidRPr="000145D5">
      <w:rPr>
        <w:rFonts w:ascii="Rockwell" w:hAnsi="Rockwell" w:cs="Tahoma"/>
        <w:b/>
        <w:bCs/>
        <w:lang w:val="en-US" w:eastAsia="en-US"/>
      </w:rPr>
      <w:t>f Commerce, In</w:t>
    </w:r>
    <w:r>
      <w:rPr>
        <w:rFonts w:ascii="Rockwell" w:hAnsi="Rockwell" w:cs="Tahoma"/>
        <w:b/>
        <w:bCs/>
        <w:lang w:val="en-US" w:eastAsia="en-US"/>
      </w:rPr>
      <w:t>ternational Trade</w:t>
    </w:r>
    <w:r w:rsidR="002503BB" w:rsidRPr="000145D5">
      <w:rPr>
        <w:rFonts w:ascii="Rockwell" w:hAnsi="Rockwell" w:cs="Tahoma"/>
        <w:b/>
        <w:bCs/>
        <w:lang w:val="en-US" w:eastAsia="en-US"/>
      </w:rPr>
      <w:t>,</w:t>
    </w:r>
  </w:p>
  <w:p w:rsidR="000145D5" w:rsidRPr="000145D5" w:rsidRDefault="002503BB" w:rsidP="002503BB">
    <w:pPr>
      <w:keepNext/>
      <w:jc w:val="center"/>
      <w:outlineLvl w:val="1"/>
      <w:rPr>
        <w:rFonts w:ascii="Rockwell" w:hAnsi="Rockwell" w:cs="Tahoma"/>
        <w:b/>
        <w:bCs/>
        <w:lang w:val="en-US" w:eastAsia="en-US"/>
      </w:rPr>
    </w:pPr>
    <w:r w:rsidRPr="000145D5">
      <w:rPr>
        <w:rFonts w:ascii="Rockwell" w:hAnsi="Rockwell" w:cs="Tahoma"/>
        <w:b/>
        <w:bCs/>
        <w:lang w:val="en-US" w:eastAsia="en-US"/>
      </w:rPr>
      <w:t>Inve</w:t>
    </w:r>
    <w:r>
      <w:rPr>
        <w:rFonts w:ascii="Rockwell" w:hAnsi="Rockwell" w:cs="Tahoma"/>
        <w:b/>
        <w:bCs/>
        <w:lang w:val="en-US" w:eastAsia="en-US"/>
      </w:rPr>
      <w:t>stment, Enterprise Development a</w:t>
    </w:r>
    <w:r w:rsidRPr="000145D5">
      <w:rPr>
        <w:rFonts w:ascii="Rockwell" w:hAnsi="Rockwell" w:cs="Tahoma"/>
        <w:b/>
        <w:bCs/>
        <w:lang w:val="en-US" w:eastAsia="en-US"/>
      </w:rPr>
      <w:t>nd Consumer Affairs</w:t>
    </w:r>
  </w:p>
  <w:p w:rsidR="000145D5" w:rsidRDefault="000145D5">
    <w:pPr>
      <w:rPr>
        <w:rFonts w:ascii="Rockwell" w:hAnsi="Rockwell"/>
        <w:sz w:val="18"/>
        <w:szCs w:val="18"/>
      </w:rPr>
    </w:pPr>
  </w:p>
  <w:p w:rsidR="00E7745A" w:rsidRDefault="00E7745A">
    <w:pPr>
      <w:rPr>
        <w:rFonts w:ascii="Rockwell" w:hAnsi="Rockwell"/>
        <w:i/>
        <w:sz w:val="18"/>
        <w:szCs w:val="18"/>
      </w:rPr>
    </w:pPr>
    <w:r>
      <w:rPr>
        <w:rFonts w:ascii="Rockwell" w:hAnsi="Rockwell"/>
        <w:sz w:val="18"/>
        <w:szCs w:val="18"/>
      </w:rPr>
      <w:t xml:space="preserve">Communications </w:t>
    </w:r>
    <w:r w:rsidR="00F64A5F">
      <w:rPr>
        <w:rFonts w:ascii="Rockwell" w:hAnsi="Rockwell"/>
        <w:i/>
        <w:sz w:val="18"/>
        <w:szCs w:val="18"/>
      </w:rPr>
      <w:t>on this subject</w:t>
    </w:r>
    <w:r w:rsidR="00F64A5F">
      <w:rPr>
        <w:rFonts w:ascii="Rockwell" w:hAnsi="Rockwell"/>
        <w:i/>
        <w:sz w:val="18"/>
        <w:szCs w:val="18"/>
      </w:rPr>
      <w:tab/>
    </w:r>
    <w:r w:rsidR="00F64A5F">
      <w:rPr>
        <w:rFonts w:ascii="Rockwell" w:hAnsi="Rockwell"/>
        <w:i/>
        <w:sz w:val="18"/>
        <w:szCs w:val="18"/>
      </w:rPr>
      <w:tab/>
    </w:r>
    <w:r w:rsidR="00F64A5F">
      <w:rPr>
        <w:rFonts w:ascii="Rockwell" w:hAnsi="Rockwell"/>
        <w:i/>
        <w:sz w:val="18"/>
        <w:szCs w:val="18"/>
      </w:rPr>
      <w:tab/>
    </w:r>
    <w:r w:rsidR="00F64A5F">
      <w:rPr>
        <w:rFonts w:ascii="Rockwell" w:hAnsi="Rockwell"/>
        <w:i/>
        <w:sz w:val="18"/>
        <w:szCs w:val="18"/>
      </w:rPr>
      <w:tab/>
    </w:r>
    <w:r w:rsidR="00F64A5F">
      <w:rPr>
        <w:rFonts w:ascii="Rockwell" w:hAnsi="Rockwell"/>
        <w:i/>
        <w:sz w:val="18"/>
        <w:szCs w:val="18"/>
      </w:rPr>
      <w:tab/>
    </w:r>
    <w:r w:rsidR="00F64A5F">
      <w:rPr>
        <w:rFonts w:ascii="Rockwell" w:hAnsi="Rockwell"/>
        <w:i/>
        <w:sz w:val="18"/>
        <w:szCs w:val="18"/>
      </w:rPr>
      <w:tab/>
    </w:r>
    <w:r w:rsidR="000145D5">
      <w:rPr>
        <w:rFonts w:ascii="Rockwell" w:hAnsi="Rockwell"/>
        <w:i/>
        <w:sz w:val="18"/>
        <w:szCs w:val="18"/>
      </w:rPr>
      <w:t xml:space="preserve">Fourth Floor, </w:t>
    </w:r>
    <w:r>
      <w:rPr>
        <w:rFonts w:ascii="Rockwell" w:hAnsi="Rockwell"/>
        <w:i/>
        <w:sz w:val="18"/>
        <w:szCs w:val="18"/>
      </w:rPr>
      <w:t>Heraldine Rock Building</w:t>
    </w:r>
  </w:p>
  <w:p w:rsidR="00E7745A" w:rsidRDefault="00E7745A">
    <w:pPr>
      <w:rPr>
        <w:rFonts w:ascii="Rockwell" w:hAnsi="Rockwell"/>
        <w:i/>
        <w:sz w:val="18"/>
        <w:szCs w:val="18"/>
      </w:rPr>
    </w:pPr>
    <w:r>
      <w:rPr>
        <w:rFonts w:ascii="Rockwell" w:hAnsi="Rockwell"/>
        <w:i/>
        <w:sz w:val="18"/>
        <w:szCs w:val="18"/>
      </w:rPr>
      <w:t>Should be addressed to:</w:t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  <w:t>Waterfront Castries</w:t>
    </w:r>
  </w:p>
  <w:p w:rsidR="00E7745A" w:rsidRDefault="00E7745A">
    <w:pPr>
      <w:rPr>
        <w:rFonts w:ascii="Rockwell" w:hAnsi="Rockwell"/>
        <w:i/>
        <w:sz w:val="18"/>
        <w:szCs w:val="18"/>
      </w:rPr>
    </w:pP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  <w:t>Saint Lucia</w:t>
    </w:r>
  </w:p>
  <w:p w:rsidR="00A43213" w:rsidRDefault="00E7745A" w:rsidP="00F0353E">
    <w:pPr>
      <w:rPr>
        <w:rFonts w:ascii="Rockwell" w:hAnsi="Rockwell"/>
        <w:i/>
        <w:sz w:val="18"/>
        <w:szCs w:val="18"/>
      </w:rPr>
    </w:pPr>
    <w:r>
      <w:rPr>
        <w:rFonts w:ascii="Rockwell" w:hAnsi="Rockwell"/>
        <w:i/>
        <w:sz w:val="18"/>
        <w:szCs w:val="18"/>
      </w:rPr>
      <w:t>THE PERMANENT SECRETARY</w:t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>
      <w:rPr>
        <w:rFonts w:ascii="Rockwell" w:hAnsi="Rockwell"/>
        <w:i/>
        <w:sz w:val="18"/>
        <w:szCs w:val="18"/>
      </w:rPr>
      <w:tab/>
    </w:r>
    <w:r w:rsidR="00A43213">
      <w:rPr>
        <w:rFonts w:ascii="Rockwell" w:hAnsi="Rockwell"/>
        <w:i/>
        <w:sz w:val="18"/>
        <w:szCs w:val="18"/>
      </w:rPr>
      <w:t xml:space="preserve"> </w:t>
    </w:r>
  </w:p>
  <w:p w:rsidR="006377B9" w:rsidRDefault="00637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DE5A68"/>
    <w:lvl w:ilvl="0">
      <w:numFmt w:val="bullet"/>
      <w:lvlText w:val="*"/>
      <w:lvlJc w:val="left"/>
    </w:lvl>
  </w:abstractNum>
  <w:abstractNum w:abstractNumId="1" w15:restartNumberingAfterBreak="0">
    <w:nsid w:val="0A13287B"/>
    <w:multiLevelType w:val="hybridMultilevel"/>
    <w:tmpl w:val="7C78858A"/>
    <w:lvl w:ilvl="0" w:tplc="DCB0F7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113B7"/>
    <w:multiLevelType w:val="hybridMultilevel"/>
    <w:tmpl w:val="FC6A0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F515A"/>
    <w:multiLevelType w:val="hybridMultilevel"/>
    <w:tmpl w:val="85B2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611A"/>
    <w:multiLevelType w:val="hybridMultilevel"/>
    <w:tmpl w:val="EC283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725"/>
    <w:multiLevelType w:val="hybridMultilevel"/>
    <w:tmpl w:val="94F6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D3A5B"/>
    <w:multiLevelType w:val="hybridMultilevel"/>
    <w:tmpl w:val="D2FA5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8631B"/>
    <w:multiLevelType w:val="hybridMultilevel"/>
    <w:tmpl w:val="B1BC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B5659"/>
    <w:multiLevelType w:val="hybridMultilevel"/>
    <w:tmpl w:val="77EC2D92"/>
    <w:lvl w:ilvl="0" w:tplc="AFEA4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797E"/>
    <w:multiLevelType w:val="hybridMultilevel"/>
    <w:tmpl w:val="4A5040B6"/>
    <w:lvl w:ilvl="0" w:tplc="466A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D"/>
    <w:rsid w:val="000145D5"/>
    <w:rsid w:val="00022D7F"/>
    <w:rsid w:val="00037B86"/>
    <w:rsid w:val="00041502"/>
    <w:rsid w:val="00046BB0"/>
    <w:rsid w:val="00060BBE"/>
    <w:rsid w:val="0006276D"/>
    <w:rsid w:val="000C500B"/>
    <w:rsid w:val="000C5D95"/>
    <w:rsid w:val="000D3438"/>
    <w:rsid w:val="000E754D"/>
    <w:rsid w:val="000F3AB6"/>
    <w:rsid w:val="000F7BC3"/>
    <w:rsid w:val="001116CC"/>
    <w:rsid w:val="0011595B"/>
    <w:rsid w:val="0013220C"/>
    <w:rsid w:val="00151BD4"/>
    <w:rsid w:val="001706AB"/>
    <w:rsid w:val="001A7099"/>
    <w:rsid w:val="001D7B2D"/>
    <w:rsid w:val="00202100"/>
    <w:rsid w:val="00232AED"/>
    <w:rsid w:val="0024655E"/>
    <w:rsid w:val="002503BB"/>
    <w:rsid w:val="00275612"/>
    <w:rsid w:val="00276750"/>
    <w:rsid w:val="00281658"/>
    <w:rsid w:val="002819C5"/>
    <w:rsid w:val="00281F24"/>
    <w:rsid w:val="00282B3F"/>
    <w:rsid w:val="00285527"/>
    <w:rsid w:val="002A5D6D"/>
    <w:rsid w:val="002C3437"/>
    <w:rsid w:val="002D15AC"/>
    <w:rsid w:val="002E0AD4"/>
    <w:rsid w:val="002E2C89"/>
    <w:rsid w:val="003146BF"/>
    <w:rsid w:val="00327E61"/>
    <w:rsid w:val="00333A9B"/>
    <w:rsid w:val="0033613A"/>
    <w:rsid w:val="003517BC"/>
    <w:rsid w:val="003531E1"/>
    <w:rsid w:val="00356497"/>
    <w:rsid w:val="0036732F"/>
    <w:rsid w:val="00371FEF"/>
    <w:rsid w:val="003743F8"/>
    <w:rsid w:val="0038052E"/>
    <w:rsid w:val="00386719"/>
    <w:rsid w:val="003A0C9F"/>
    <w:rsid w:val="003A2EB7"/>
    <w:rsid w:val="003A44EC"/>
    <w:rsid w:val="003D4B90"/>
    <w:rsid w:val="003F5F19"/>
    <w:rsid w:val="004063F9"/>
    <w:rsid w:val="00423614"/>
    <w:rsid w:val="00463511"/>
    <w:rsid w:val="00475A77"/>
    <w:rsid w:val="004849B7"/>
    <w:rsid w:val="00487B79"/>
    <w:rsid w:val="004A372A"/>
    <w:rsid w:val="004D132E"/>
    <w:rsid w:val="004E2205"/>
    <w:rsid w:val="004E3A90"/>
    <w:rsid w:val="004E41B5"/>
    <w:rsid w:val="0050261B"/>
    <w:rsid w:val="00503778"/>
    <w:rsid w:val="00503C44"/>
    <w:rsid w:val="0051476E"/>
    <w:rsid w:val="00517781"/>
    <w:rsid w:val="005858DD"/>
    <w:rsid w:val="005A19F6"/>
    <w:rsid w:val="005D4814"/>
    <w:rsid w:val="005F4FE4"/>
    <w:rsid w:val="006377B9"/>
    <w:rsid w:val="006661D8"/>
    <w:rsid w:val="00675753"/>
    <w:rsid w:val="00694F93"/>
    <w:rsid w:val="006A5C05"/>
    <w:rsid w:val="006B4EFD"/>
    <w:rsid w:val="006C35EA"/>
    <w:rsid w:val="007162EE"/>
    <w:rsid w:val="00734667"/>
    <w:rsid w:val="00735983"/>
    <w:rsid w:val="00762794"/>
    <w:rsid w:val="00765146"/>
    <w:rsid w:val="00767312"/>
    <w:rsid w:val="007807EA"/>
    <w:rsid w:val="007A3809"/>
    <w:rsid w:val="007B3C4A"/>
    <w:rsid w:val="007E0CE0"/>
    <w:rsid w:val="007F44A3"/>
    <w:rsid w:val="0082604F"/>
    <w:rsid w:val="008370E8"/>
    <w:rsid w:val="008542B4"/>
    <w:rsid w:val="00862E2C"/>
    <w:rsid w:val="0088516B"/>
    <w:rsid w:val="008917F1"/>
    <w:rsid w:val="008A09E7"/>
    <w:rsid w:val="008A7B63"/>
    <w:rsid w:val="008D4455"/>
    <w:rsid w:val="00906030"/>
    <w:rsid w:val="00912B07"/>
    <w:rsid w:val="009306FB"/>
    <w:rsid w:val="009518A3"/>
    <w:rsid w:val="0096645D"/>
    <w:rsid w:val="009739A8"/>
    <w:rsid w:val="009868B2"/>
    <w:rsid w:val="00987C02"/>
    <w:rsid w:val="00995FA0"/>
    <w:rsid w:val="00A01AC2"/>
    <w:rsid w:val="00A04E88"/>
    <w:rsid w:val="00A17782"/>
    <w:rsid w:val="00A3445C"/>
    <w:rsid w:val="00A40221"/>
    <w:rsid w:val="00A43213"/>
    <w:rsid w:val="00A52C38"/>
    <w:rsid w:val="00A555D2"/>
    <w:rsid w:val="00A5679B"/>
    <w:rsid w:val="00A73D39"/>
    <w:rsid w:val="00AA0365"/>
    <w:rsid w:val="00AD4142"/>
    <w:rsid w:val="00AF399F"/>
    <w:rsid w:val="00AF7F92"/>
    <w:rsid w:val="00B00E65"/>
    <w:rsid w:val="00B1703B"/>
    <w:rsid w:val="00B23DCF"/>
    <w:rsid w:val="00B3454F"/>
    <w:rsid w:val="00B608E1"/>
    <w:rsid w:val="00B8346B"/>
    <w:rsid w:val="00BA70BE"/>
    <w:rsid w:val="00C21AE9"/>
    <w:rsid w:val="00C350AC"/>
    <w:rsid w:val="00C556C3"/>
    <w:rsid w:val="00C6013A"/>
    <w:rsid w:val="00CD7605"/>
    <w:rsid w:val="00D21A42"/>
    <w:rsid w:val="00D44D2B"/>
    <w:rsid w:val="00D501F4"/>
    <w:rsid w:val="00D52B04"/>
    <w:rsid w:val="00D638CC"/>
    <w:rsid w:val="00DA54F0"/>
    <w:rsid w:val="00DD0BC5"/>
    <w:rsid w:val="00DE5D4E"/>
    <w:rsid w:val="00E45DC8"/>
    <w:rsid w:val="00E714A6"/>
    <w:rsid w:val="00E7745A"/>
    <w:rsid w:val="00E81836"/>
    <w:rsid w:val="00EB5EF9"/>
    <w:rsid w:val="00ED564E"/>
    <w:rsid w:val="00EE425B"/>
    <w:rsid w:val="00F0353E"/>
    <w:rsid w:val="00F05CD8"/>
    <w:rsid w:val="00F27FDE"/>
    <w:rsid w:val="00F459E2"/>
    <w:rsid w:val="00F521B7"/>
    <w:rsid w:val="00F64A5F"/>
    <w:rsid w:val="00F67976"/>
    <w:rsid w:val="00F7224A"/>
    <w:rsid w:val="00F8229A"/>
    <w:rsid w:val="00FB14AE"/>
    <w:rsid w:val="00FC35AF"/>
    <w:rsid w:val="00FC723E"/>
    <w:rsid w:val="00FE7E69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1E112-037B-48B2-9CDB-55FE6F4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2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16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Lucida Fax" w:hAnsi="Lucida Fax"/>
      <w:b/>
      <w:sz w:val="22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E7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029" w:eastAsia="en-US"/>
    </w:rPr>
  </w:style>
  <w:style w:type="character" w:styleId="Strong">
    <w:name w:val="Strong"/>
    <w:basedOn w:val="DefaultParagraphFont"/>
    <w:uiPriority w:val="22"/>
    <w:qFormat/>
    <w:rsid w:val="00FE7E69"/>
    <w:rPr>
      <w:b/>
      <w:bCs/>
    </w:rPr>
  </w:style>
  <w:style w:type="character" w:styleId="Emphasis">
    <w:name w:val="Emphasis"/>
    <w:basedOn w:val="DefaultParagraphFont"/>
    <w:uiPriority w:val="20"/>
    <w:qFormat/>
    <w:rsid w:val="002D1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commerce@govt.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vid19response.l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ommerceSaintLucia" TargetMode="External"/><Relationship Id="rId2" Type="http://schemas.openxmlformats.org/officeDocument/2006/relationships/hyperlink" Target="http://www.commerce.gov.lc" TargetMode="External"/><Relationship Id="rId1" Type="http://schemas.openxmlformats.org/officeDocument/2006/relationships/hyperlink" Target="mailto:mincommerce@govt.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2005</vt:lpstr>
    </vt:vector>
  </TitlesOfParts>
  <Company>Goverment Ministry</Company>
  <LinksUpToDate>false</LinksUpToDate>
  <CharactersWithSpaces>3104</CharactersWithSpaces>
  <SharedDoc>false</SharedDoc>
  <HLinks>
    <vt:vector size="24" baseType="variant"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http://www.saintluciataiwan.org/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http://www.facebook.com/CommerceSaintLucia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http://www.commerce.gov.lc/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mailto:mincommerce@govt.lc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2005</dc:title>
  <dc:creator>Goverment Ministry</dc:creator>
  <cp:lastModifiedBy>Sophia Henry</cp:lastModifiedBy>
  <cp:revision>5</cp:revision>
  <cp:lastPrinted>2021-01-22T13:31:00Z</cp:lastPrinted>
  <dcterms:created xsi:type="dcterms:W3CDTF">2021-01-22T13:22:00Z</dcterms:created>
  <dcterms:modified xsi:type="dcterms:W3CDTF">2021-01-22T14:05:00Z</dcterms:modified>
</cp:coreProperties>
</file>